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9DDE" w14:textId="77777777" w:rsidR="00B55748" w:rsidRDefault="004B44B7">
      <w:pPr>
        <w:rPr>
          <w:rFonts w:ascii="Arial" w:hAnsi="Arial"/>
          <w:sz w:val="24"/>
        </w:rPr>
      </w:pPr>
      <w:r>
        <w:rPr>
          <w:noProof/>
        </w:rPr>
        <w:drawing>
          <wp:inline distT="0" distB="0" distL="0" distR="0" wp14:anchorId="462C9E3C" wp14:editId="462C9E3D">
            <wp:extent cx="1323975" cy="552450"/>
            <wp:effectExtent l="19050" t="0" r="9525" b="0"/>
            <wp:docPr id="1" name="Picture 1" descr="Logo Sample Black and White 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ple Black and White 2 Inch"/>
                    <pic:cNvPicPr>
                      <a:picLocks noChangeAspect="1" noChangeArrowheads="1"/>
                    </pic:cNvPicPr>
                  </pic:nvPicPr>
                  <pic:blipFill>
                    <a:blip r:embed="rId9" cstate="print"/>
                    <a:srcRect/>
                    <a:stretch>
                      <a:fillRect/>
                    </a:stretch>
                  </pic:blipFill>
                  <pic:spPr bwMode="auto">
                    <a:xfrm>
                      <a:off x="0" y="0"/>
                      <a:ext cx="1323975" cy="552450"/>
                    </a:xfrm>
                    <a:prstGeom prst="rect">
                      <a:avLst/>
                    </a:prstGeom>
                    <a:noFill/>
                    <a:ln w="9525">
                      <a:noFill/>
                      <a:miter lim="800000"/>
                      <a:headEnd/>
                      <a:tailEnd/>
                    </a:ln>
                  </pic:spPr>
                </pic:pic>
              </a:graphicData>
            </a:graphic>
          </wp:inline>
        </w:drawing>
      </w:r>
      <w:r w:rsidR="00304083">
        <w:tab/>
      </w:r>
      <w:r w:rsidR="00304083">
        <w:tab/>
      </w:r>
      <w:r w:rsidR="00304083">
        <w:tab/>
      </w:r>
      <w:r w:rsidR="00304083">
        <w:tab/>
      </w:r>
      <w:r w:rsidR="00304083">
        <w:tab/>
      </w:r>
      <w:r w:rsidR="00304083">
        <w:tab/>
      </w:r>
      <w:r w:rsidR="00304083">
        <w:tab/>
      </w:r>
      <w:r w:rsidR="00304083">
        <w:tab/>
      </w:r>
    </w:p>
    <w:p w14:paraId="462C9DDF" w14:textId="500780D0" w:rsidR="00B55748" w:rsidRPr="002F1166" w:rsidRDefault="00E5141F" w:rsidP="007652DB">
      <w:pPr>
        <w:pStyle w:val="Subtitle"/>
        <w:jc w:val="right"/>
        <w:rPr>
          <w:sz w:val="20"/>
        </w:rPr>
      </w:pPr>
      <w:r>
        <w:rPr>
          <w:sz w:val="20"/>
        </w:rPr>
        <w:t>Office of Human Resources</w:t>
      </w:r>
    </w:p>
    <w:p w14:paraId="462C9DE0" w14:textId="77777777" w:rsidR="00100912" w:rsidRDefault="00100912" w:rsidP="00100912">
      <w:pPr>
        <w:pStyle w:val="Subtitle"/>
        <w:rPr>
          <w:b/>
          <w:i w:val="0"/>
        </w:rPr>
      </w:pPr>
    </w:p>
    <w:p w14:paraId="462C9DE1" w14:textId="32822B00" w:rsidR="000E4074" w:rsidRDefault="00EC4DBD" w:rsidP="00100912">
      <w:pPr>
        <w:pStyle w:val="Subtitle"/>
        <w:rPr>
          <w:b/>
          <w:i w:val="0"/>
        </w:rPr>
      </w:pPr>
      <w:r>
        <w:rPr>
          <w:b/>
          <w:i w:val="0"/>
        </w:rPr>
        <w:t>20</w:t>
      </w:r>
      <w:r w:rsidR="00F61D5D">
        <w:rPr>
          <w:b/>
          <w:i w:val="0"/>
        </w:rPr>
        <w:t>1</w:t>
      </w:r>
      <w:r w:rsidR="00E5141F">
        <w:rPr>
          <w:b/>
          <w:i w:val="0"/>
        </w:rPr>
        <w:t>7</w:t>
      </w:r>
      <w:r w:rsidR="008562B2">
        <w:rPr>
          <w:b/>
          <w:i w:val="0"/>
        </w:rPr>
        <w:t>-1</w:t>
      </w:r>
      <w:r w:rsidR="00E5141F">
        <w:rPr>
          <w:b/>
          <w:i w:val="0"/>
        </w:rPr>
        <w:t>8</w:t>
      </w:r>
      <w:bookmarkStart w:id="0" w:name="_GoBack"/>
      <w:bookmarkEnd w:id="0"/>
      <w:r w:rsidR="00100912" w:rsidRPr="00100912">
        <w:rPr>
          <w:b/>
          <w:i w:val="0"/>
        </w:rPr>
        <w:t xml:space="preserve"> </w:t>
      </w:r>
      <w:r w:rsidR="00B55748" w:rsidRPr="00100912">
        <w:rPr>
          <w:b/>
          <w:i w:val="0"/>
        </w:rPr>
        <w:t>Department of Secretaries</w:t>
      </w:r>
      <w:r w:rsidR="00100912" w:rsidRPr="00100912">
        <w:rPr>
          <w:b/>
          <w:i w:val="0"/>
        </w:rPr>
        <w:t xml:space="preserve"> </w:t>
      </w:r>
      <w:r w:rsidR="00100912">
        <w:rPr>
          <w:b/>
          <w:i w:val="0"/>
        </w:rPr>
        <w:t>Salary Schedule</w:t>
      </w:r>
    </w:p>
    <w:p w14:paraId="462C9DE2" w14:textId="7E7F4ECB" w:rsidR="00100912" w:rsidRPr="005F102D" w:rsidRDefault="00837DF6" w:rsidP="00100912">
      <w:pPr>
        <w:pStyle w:val="Subtitle"/>
        <w:rPr>
          <w:b/>
          <w:i w:val="0"/>
          <w:sz w:val="20"/>
        </w:rPr>
      </w:pPr>
      <w:r w:rsidRPr="005F102D">
        <w:rPr>
          <w:b/>
          <w:i w:val="0"/>
          <w:sz w:val="20"/>
        </w:rPr>
        <w:t>210, 220, or 260 Day Year</w:t>
      </w:r>
    </w:p>
    <w:p w14:paraId="74C24E10" w14:textId="5271D16F" w:rsidR="00837DF6" w:rsidRPr="005F102D" w:rsidRDefault="00837DF6" w:rsidP="00100912">
      <w:pPr>
        <w:pStyle w:val="Subtitle"/>
        <w:rPr>
          <w:b/>
          <w:i w:val="0"/>
          <w:sz w:val="20"/>
        </w:rPr>
      </w:pPr>
      <w:r w:rsidRPr="005F102D">
        <w:rPr>
          <w:b/>
          <w:i w:val="0"/>
          <w:sz w:val="20"/>
        </w:rPr>
        <w:t>7.5 Hour Day</w:t>
      </w:r>
    </w:p>
    <w:p w14:paraId="462C9DE3" w14:textId="77777777" w:rsidR="00B55748" w:rsidRPr="007652DB" w:rsidRDefault="007652DB" w:rsidP="007652DB">
      <w:pPr>
        <w:pStyle w:val="Heading1"/>
        <w:jc w:val="right"/>
        <w:rPr>
          <w:b w:val="0"/>
          <w:u w:val="single"/>
        </w:rPr>
      </w:pPr>
      <w:r w:rsidRPr="007652DB">
        <w:rPr>
          <w:b w:val="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1728"/>
        <w:gridCol w:w="1728"/>
        <w:gridCol w:w="1728"/>
        <w:gridCol w:w="1728"/>
      </w:tblGrid>
      <w:tr w:rsidR="004067AD" w14:paraId="462C9DE9" w14:textId="1A9F6CC0" w:rsidTr="00122140">
        <w:tc>
          <w:tcPr>
            <w:tcW w:w="1728" w:type="dxa"/>
          </w:tcPr>
          <w:p w14:paraId="462C9DE4" w14:textId="77777777" w:rsidR="004067AD" w:rsidRDefault="004067AD">
            <w:pPr>
              <w:pStyle w:val="Heading1"/>
            </w:pPr>
            <w:r>
              <w:t>Range</w:t>
            </w:r>
          </w:p>
        </w:tc>
        <w:tc>
          <w:tcPr>
            <w:tcW w:w="1728" w:type="dxa"/>
          </w:tcPr>
          <w:p w14:paraId="462C9DE5" w14:textId="77777777" w:rsidR="004067AD" w:rsidRDefault="004067AD">
            <w:pPr>
              <w:jc w:val="center"/>
              <w:rPr>
                <w:rFonts w:ascii="Arial" w:hAnsi="Arial"/>
                <w:b/>
                <w:sz w:val="24"/>
              </w:rPr>
            </w:pPr>
            <w:r>
              <w:rPr>
                <w:rFonts w:ascii="Arial" w:hAnsi="Arial"/>
                <w:b/>
                <w:sz w:val="24"/>
              </w:rPr>
              <w:t>Group A</w:t>
            </w:r>
          </w:p>
        </w:tc>
        <w:tc>
          <w:tcPr>
            <w:tcW w:w="1728" w:type="dxa"/>
          </w:tcPr>
          <w:p w14:paraId="462C9DE6" w14:textId="77777777" w:rsidR="004067AD" w:rsidRDefault="004067AD">
            <w:pPr>
              <w:jc w:val="center"/>
              <w:rPr>
                <w:rFonts w:ascii="Arial" w:hAnsi="Arial"/>
                <w:b/>
                <w:sz w:val="24"/>
              </w:rPr>
            </w:pPr>
            <w:r>
              <w:rPr>
                <w:rFonts w:ascii="Arial" w:hAnsi="Arial"/>
                <w:b/>
                <w:sz w:val="24"/>
              </w:rPr>
              <w:t>Group B</w:t>
            </w:r>
          </w:p>
        </w:tc>
        <w:tc>
          <w:tcPr>
            <w:tcW w:w="1728" w:type="dxa"/>
          </w:tcPr>
          <w:p w14:paraId="462C9DE7" w14:textId="77777777" w:rsidR="004067AD" w:rsidRDefault="004067AD">
            <w:pPr>
              <w:jc w:val="center"/>
              <w:rPr>
                <w:rFonts w:ascii="Arial" w:hAnsi="Arial"/>
                <w:b/>
                <w:sz w:val="24"/>
              </w:rPr>
            </w:pPr>
            <w:r>
              <w:rPr>
                <w:rFonts w:ascii="Arial" w:hAnsi="Arial"/>
                <w:b/>
                <w:sz w:val="24"/>
              </w:rPr>
              <w:t>Group C</w:t>
            </w:r>
          </w:p>
        </w:tc>
        <w:tc>
          <w:tcPr>
            <w:tcW w:w="1728" w:type="dxa"/>
          </w:tcPr>
          <w:p w14:paraId="462C9DE8" w14:textId="77777777" w:rsidR="004067AD" w:rsidRDefault="004067AD">
            <w:pPr>
              <w:jc w:val="center"/>
              <w:rPr>
                <w:rFonts w:ascii="Arial" w:hAnsi="Arial"/>
                <w:b/>
                <w:sz w:val="24"/>
              </w:rPr>
            </w:pPr>
            <w:r>
              <w:rPr>
                <w:rFonts w:ascii="Arial" w:hAnsi="Arial"/>
                <w:b/>
                <w:sz w:val="24"/>
              </w:rPr>
              <w:t>Group D</w:t>
            </w:r>
          </w:p>
        </w:tc>
        <w:tc>
          <w:tcPr>
            <w:tcW w:w="1728" w:type="dxa"/>
          </w:tcPr>
          <w:p w14:paraId="711BCF39" w14:textId="02111F25" w:rsidR="004067AD" w:rsidRDefault="004067AD">
            <w:pPr>
              <w:jc w:val="center"/>
              <w:rPr>
                <w:rFonts w:ascii="Arial" w:hAnsi="Arial"/>
                <w:b/>
                <w:sz w:val="24"/>
              </w:rPr>
            </w:pPr>
            <w:r>
              <w:rPr>
                <w:rFonts w:ascii="Arial" w:hAnsi="Arial"/>
                <w:b/>
                <w:sz w:val="24"/>
              </w:rPr>
              <w:t>Group E</w:t>
            </w:r>
          </w:p>
        </w:tc>
      </w:tr>
      <w:tr w:rsidR="004B3387" w14:paraId="462C9DF1" w14:textId="52E9B6DE" w:rsidTr="00E040E7">
        <w:tc>
          <w:tcPr>
            <w:tcW w:w="1728" w:type="dxa"/>
          </w:tcPr>
          <w:p w14:paraId="462C9DEA" w14:textId="77777777" w:rsidR="004B3387" w:rsidRDefault="004B3387" w:rsidP="004B3387">
            <w:pPr>
              <w:jc w:val="center"/>
              <w:rPr>
                <w:rFonts w:ascii="Arial" w:hAnsi="Arial"/>
                <w:b/>
                <w:sz w:val="24"/>
              </w:rPr>
            </w:pPr>
            <w:r>
              <w:rPr>
                <w:rFonts w:ascii="Arial" w:hAnsi="Arial"/>
                <w:b/>
                <w:sz w:val="24"/>
              </w:rPr>
              <w:t>Probation</w:t>
            </w:r>
          </w:p>
          <w:p w14:paraId="462C9DEB" w14:textId="77777777" w:rsidR="004B3387" w:rsidRDefault="004B3387" w:rsidP="004B3387">
            <w:pPr>
              <w:jc w:val="center"/>
              <w:rPr>
                <w:rFonts w:ascii="Arial" w:hAnsi="Arial"/>
                <w:b/>
                <w:sz w:val="24"/>
              </w:rPr>
            </w:pPr>
            <w:r>
              <w:rPr>
                <w:rFonts w:ascii="Arial" w:hAnsi="Arial"/>
                <w:b/>
                <w:sz w:val="24"/>
              </w:rPr>
              <w:t>(6 months)</w:t>
            </w:r>
          </w:p>
          <w:p w14:paraId="462C9DEC" w14:textId="77777777" w:rsidR="004B3387" w:rsidRDefault="004B3387" w:rsidP="004B3387">
            <w:pPr>
              <w:jc w:val="center"/>
              <w:rPr>
                <w:rFonts w:ascii="Arial" w:hAnsi="Arial"/>
                <w:b/>
                <w:sz w:val="24"/>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462C9DED" w14:textId="41277D52"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12.99 </w:t>
            </w:r>
          </w:p>
        </w:tc>
        <w:tc>
          <w:tcPr>
            <w:tcW w:w="1728" w:type="dxa"/>
            <w:tcBorders>
              <w:top w:val="single" w:sz="4" w:space="0" w:color="auto"/>
              <w:left w:val="nil"/>
              <w:bottom w:val="single" w:sz="4" w:space="0" w:color="auto"/>
              <w:right w:val="single" w:sz="4" w:space="0" w:color="auto"/>
            </w:tcBorders>
            <w:shd w:val="clear" w:color="auto" w:fill="auto"/>
            <w:vAlign w:val="bottom"/>
          </w:tcPr>
          <w:p w14:paraId="462C9DEE" w14:textId="412769A2"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13.30 </w:t>
            </w:r>
          </w:p>
        </w:tc>
        <w:tc>
          <w:tcPr>
            <w:tcW w:w="1728" w:type="dxa"/>
            <w:tcBorders>
              <w:top w:val="single" w:sz="4" w:space="0" w:color="auto"/>
              <w:left w:val="nil"/>
              <w:bottom w:val="single" w:sz="4" w:space="0" w:color="auto"/>
              <w:right w:val="single" w:sz="4" w:space="0" w:color="auto"/>
            </w:tcBorders>
            <w:shd w:val="clear" w:color="auto" w:fill="auto"/>
            <w:vAlign w:val="bottom"/>
          </w:tcPr>
          <w:p w14:paraId="462C9DEF" w14:textId="132AB9D8"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13.63 </w:t>
            </w:r>
          </w:p>
        </w:tc>
        <w:tc>
          <w:tcPr>
            <w:tcW w:w="1728" w:type="dxa"/>
            <w:tcBorders>
              <w:top w:val="single" w:sz="4" w:space="0" w:color="auto"/>
              <w:left w:val="nil"/>
              <w:bottom w:val="single" w:sz="4" w:space="0" w:color="auto"/>
              <w:right w:val="single" w:sz="4" w:space="0" w:color="auto"/>
            </w:tcBorders>
            <w:shd w:val="clear" w:color="auto" w:fill="auto"/>
            <w:vAlign w:val="bottom"/>
          </w:tcPr>
          <w:p w14:paraId="462C9DF0" w14:textId="4BA087C8"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14.03 </w:t>
            </w:r>
          </w:p>
        </w:tc>
        <w:tc>
          <w:tcPr>
            <w:tcW w:w="1728" w:type="dxa"/>
            <w:tcBorders>
              <w:top w:val="single" w:sz="4" w:space="0" w:color="auto"/>
              <w:left w:val="nil"/>
              <w:bottom w:val="single" w:sz="4" w:space="0" w:color="auto"/>
              <w:right w:val="single" w:sz="4" w:space="0" w:color="auto"/>
            </w:tcBorders>
            <w:shd w:val="clear" w:color="auto" w:fill="auto"/>
            <w:vAlign w:val="bottom"/>
          </w:tcPr>
          <w:p w14:paraId="6B19318C" w14:textId="71F109EB"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15.78 </w:t>
            </w:r>
          </w:p>
        </w:tc>
      </w:tr>
      <w:tr w:rsidR="004B3387" w14:paraId="462C9DF9" w14:textId="408EABF7" w:rsidTr="00E040E7">
        <w:tc>
          <w:tcPr>
            <w:tcW w:w="1728" w:type="dxa"/>
          </w:tcPr>
          <w:p w14:paraId="462C9DF2" w14:textId="77777777" w:rsidR="004B3387" w:rsidRDefault="004B3387" w:rsidP="004B3387">
            <w:pPr>
              <w:jc w:val="center"/>
              <w:rPr>
                <w:rFonts w:ascii="Arial" w:hAnsi="Arial"/>
                <w:b/>
                <w:sz w:val="24"/>
              </w:rPr>
            </w:pPr>
            <w:r>
              <w:rPr>
                <w:rFonts w:ascii="Arial" w:hAnsi="Arial"/>
                <w:b/>
                <w:sz w:val="24"/>
              </w:rPr>
              <w:t>1</w:t>
            </w:r>
          </w:p>
          <w:p w14:paraId="462C9DF3" w14:textId="77777777" w:rsidR="004B3387" w:rsidRDefault="004B3387" w:rsidP="004B3387">
            <w:pPr>
              <w:jc w:val="center"/>
              <w:rPr>
                <w:rFonts w:ascii="Arial" w:hAnsi="Arial"/>
                <w:b/>
                <w:sz w:val="24"/>
              </w:rPr>
            </w:pPr>
            <w:r>
              <w:rPr>
                <w:rFonts w:ascii="Arial" w:hAnsi="Arial"/>
                <w:b/>
                <w:sz w:val="24"/>
              </w:rPr>
              <w:t xml:space="preserve">(3 fiscal </w:t>
            </w:r>
            <w:proofErr w:type="spellStart"/>
            <w:r>
              <w:rPr>
                <w:rFonts w:ascii="Arial" w:hAnsi="Arial"/>
                <w:b/>
                <w:sz w:val="24"/>
              </w:rPr>
              <w:t>yrs</w:t>
            </w:r>
            <w:proofErr w:type="spellEnd"/>
            <w:r>
              <w:rPr>
                <w:rFonts w:ascii="Arial" w:hAnsi="Arial"/>
                <w:b/>
                <w:sz w:val="24"/>
              </w:rPr>
              <w:t>)</w:t>
            </w:r>
          </w:p>
          <w:p w14:paraId="462C9DF4"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DF5" w14:textId="441D8C14"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13.34 </w:t>
            </w:r>
          </w:p>
        </w:tc>
        <w:tc>
          <w:tcPr>
            <w:tcW w:w="1728" w:type="dxa"/>
            <w:tcBorders>
              <w:top w:val="nil"/>
              <w:left w:val="nil"/>
              <w:bottom w:val="single" w:sz="4" w:space="0" w:color="auto"/>
              <w:right w:val="single" w:sz="4" w:space="0" w:color="auto"/>
            </w:tcBorders>
            <w:shd w:val="clear" w:color="auto" w:fill="auto"/>
            <w:vAlign w:val="bottom"/>
          </w:tcPr>
          <w:p w14:paraId="462C9DF6" w14:textId="09D9BB82"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13.65 </w:t>
            </w:r>
          </w:p>
        </w:tc>
        <w:tc>
          <w:tcPr>
            <w:tcW w:w="1728" w:type="dxa"/>
            <w:tcBorders>
              <w:top w:val="nil"/>
              <w:left w:val="nil"/>
              <w:bottom w:val="single" w:sz="4" w:space="0" w:color="auto"/>
              <w:right w:val="single" w:sz="4" w:space="0" w:color="auto"/>
            </w:tcBorders>
            <w:shd w:val="clear" w:color="auto" w:fill="auto"/>
            <w:vAlign w:val="bottom"/>
          </w:tcPr>
          <w:p w14:paraId="462C9DF7" w14:textId="3FA911CB"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13.98 </w:t>
            </w:r>
          </w:p>
        </w:tc>
        <w:tc>
          <w:tcPr>
            <w:tcW w:w="1728" w:type="dxa"/>
            <w:tcBorders>
              <w:top w:val="nil"/>
              <w:left w:val="nil"/>
              <w:bottom w:val="single" w:sz="4" w:space="0" w:color="auto"/>
              <w:right w:val="single" w:sz="4" w:space="0" w:color="auto"/>
            </w:tcBorders>
            <w:shd w:val="clear" w:color="auto" w:fill="auto"/>
            <w:vAlign w:val="bottom"/>
          </w:tcPr>
          <w:p w14:paraId="462C9DF8" w14:textId="5FA48150"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14.38 </w:t>
            </w:r>
          </w:p>
        </w:tc>
        <w:tc>
          <w:tcPr>
            <w:tcW w:w="1728" w:type="dxa"/>
            <w:tcBorders>
              <w:top w:val="nil"/>
              <w:left w:val="nil"/>
              <w:bottom w:val="single" w:sz="4" w:space="0" w:color="auto"/>
              <w:right w:val="single" w:sz="4" w:space="0" w:color="auto"/>
            </w:tcBorders>
            <w:shd w:val="clear" w:color="auto" w:fill="auto"/>
            <w:vAlign w:val="bottom"/>
          </w:tcPr>
          <w:p w14:paraId="3C67EFFB" w14:textId="6DEF301F"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16.13 </w:t>
            </w:r>
          </w:p>
        </w:tc>
      </w:tr>
      <w:tr w:rsidR="004B3387" w14:paraId="462C9E01" w14:textId="7A6E546F" w:rsidTr="00E040E7">
        <w:tc>
          <w:tcPr>
            <w:tcW w:w="1728" w:type="dxa"/>
          </w:tcPr>
          <w:p w14:paraId="462C9DFA" w14:textId="77777777" w:rsidR="004B3387" w:rsidRDefault="004B3387" w:rsidP="004B3387">
            <w:pPr>
              <w:jc w:val="center"/>
              <w:rPr>
                <w:rFonts w:ascii="Arial" w:hAnsi="Arial"/>
                <w:b/>
                <w:sz w:val="24"/>
              </w:rPr>
            </w:pPr>
            <w:r>
              <w:rPr>
                <w:rFonts w:ascii="Arial" w:hAnsi="Arial"/>
                <w:b/>
                <w:sz w:val="24"/>
              </w:rPr>
              <w:t>2</w:t>
            </w:r>
          </w:p>
          <w:p w14:paraId="462C9DFB" w14:textId="77777777" w:rsidR="004B3387" w:rsidRDefault="004B3387" w:rsidP="004B3387">
            <w:pPr>
              <w:jc w:val="center"/>
              <w:rPr>
                <w:rFonts w:ascii="Arial" w:hAnsi="Arial"/>
                <w:b/>
                <w:sz w:val="24"/>
              </w:rPr>
            </w:pPr>
            <w:r>
              <w:rPr>
                <w:rFonts w:ascii="Arial" w:hAnsi="Arial"/>
                <w:b/>
                <w:sz w:val="24"/>
              </w:rPr>
              <w:t xml:space="preserve">(3 fiscal </w:t>
            </w:r>
            <w:proofErr w:type="spellStart"/>
            <w:r>
              <w:rPr>
                <w:rFonts w:ascii="Arial" w:hAnsi="Arial"/>
                <w:b/>
                <w:sz w:val="24"/>
              </w:rPr>
              <w:t>yrs</w:t>
            </w:r>
            <w:proofErr w:type="spellEnd"/>
            <w:r>
              <w:rPr>
                <w:rFonts w:ascii="Arial" w:hAnsi="Arial"/>
                <w:b/>
                <w:sz w:val="24"/>
              </w:rPr>
              <w:t>)</w:t>
            </w:r>
          </w:p>
          <w:p w14:paraId="462C9DFC"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DFD" w14:textId="440EE153"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13.69 </w:t>
            </w:r>
          </w:p>
        </w:tc>
        <w:tc>
          <w:tcPr>
            <w:tcW w:w="1728" w:type="dxa"/>
            <w:tcBorders>
              <w:top w:val="nil"/>
              <w:left w:val="nil"/>
              <w:bottom w:val="single" w:sz="4" w:space="0" w:color="auto"/>
              <w:right w:val="single" w:sz="4" w:space="0" w:color="auto"/>
            </w:tcBorders>
            <w:shd w:val="clear" w:color="auto" w:fill="auto"/>
            <w:vAlign w:val="bottom"/>
          </w:tcPr>
          <w:p w14:paraId="462C9DFE" w14:textId="004EA114"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14.00 </w:t>
            </w:r>
          </w:p>
        </w:tc>
        <w:tc>
          <w:tcPr>
            <w:tcW w:w="1728" w:type="dxa"/>
            <w:tcBorders>
              <w:top w:val="nil"/>
              <w:left w:val="nil"/>
              <w:bottom w:val="single" w:sz="4" w:space="0" w:color="auto"/>
              <w:right w:val="single" w:sz="4" w:space="0" w:color="auto"/>
            </w:tcBorders>
            <w:shd w:val="clear" w:color="auto" w:fill="auto"/>
            <w:vAlign w:val="bottom"/>
          </w:tcPr>
          <w:p w14:paraId="462C9DFF" w14:textId="2BC8D5E2"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14.33 </w:t>
            </w:r>
          </w:p>
        </w:tc>
        <w:tc>
          <w:tcPr>
            <w:tcW w:w="1728" w:type="dxa"/>
            <w:tcBorders>
              <w:top w:val="nil"/>
              <w:left w:val="nil"/>
              <w:bottom w:val="single" w:sz="4" w:space="0" w:color="auto"/>
              <w:right w:val="single" w:sz="4" w:space="0" w:color="auto"/>
            </w:tcBorders>
            <w:shd w:val="clear" w:color="auto" w:fill="auto"/>
            <w:vAlign w:val="bottom"/>
          </w:tcPr>
          <w:p w14:paraId="462C9E00" w14:textId="781BEB8F"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14.73 </w:t>
            </w:r>
          </w:p>
        </w:tc>
        <w:tc>
          <w:tcPr>
            <w:tcW w:w="1728" w:type="dxa"/>
            <w:tcBorders>
              <w:top w:val="nil"/>
              <w:left w:val="nil"/>
              <w:bottom w:val="single" w:sz="4" w:space="0" w:color="auto"/>
              <w:right w:val="single" w:sz="4" w:space="0" w:color="auto"/>
            </w:tcBorders>
            <w:shd w:val="clear" w:color="auto" w:fill="auto"/>
            <w:vAlign w:val="bottom"/>
          </w:tcPr>
          <w:p w14:paraId="75AA27DF" w14:textId="5352F754"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16.48 </w:t>
            </w:r>
          </w:p>
        </w:tc>
      </w:tr>
      <w:tr w:rsidR="004B3387" w14:paraId="462C9E09" w14:textId="1BC89877" w:rsidTr="00E040E7">
        <w:tc>
          <w:tcPr>
            <w:tcW w:w="1728" w:type="dxa"/>
          </w:tcPr>
          <w:p w14:paraId="462C9E02" w14:textId="77777777" w:rsidR="004B3387" w:rsidRDefault="004B3387" w:rsidP="004B3387">
            <w:pPr>
              <w:jc w:val="center"/>
              <w:rPr>
                <w:rFonts w:ascii="Arial" w:hAnsi="Arial"/>
                <w:b/>
                <w:sz w:val="24"/>
              </w:rPr>
            </w:pPr>
            <w:r>
              <w:rPr>
                <w:rFonts w:ascii="Arial" w:hAnsi="Arial"/>
                <w:b/>
                <w:sz w:val="24"/>
              </w:rPr>
              <w:t>3</w:t>
            </w:r>
          </w:p>
          <w:p w14:paraId="462C9E03" w14:textId="77777777" w:rsidR="004B3387" w:rsidRDefault="004B3387" w:rsidP="004B3387">
            <w:pPr>
              <w:jc w:val="center"/>
              <w:rPr>
                <w:rFonts w:ascii="Arial" w:hAnsi="Arial"/>
                <w:b/>
                <w:sz w:val="24"/>
              </w:rPr>
            </w:pPr>
            <w:r>
              <w:rPr>
                <w:rFonts w:ascii="Arial" w:hAnsi="Arial"/>
                <w:b/>
                <w:sz w:val="24"/>
              </w:rPr>
              <w:t xml:space="preserve">(3 fiscal </w:t>
            </w:r>
            <w:proofErr w:type="spellStart"/>
            <w:r>
              <w:rPr>
                <w:rFonts w:ascii="Arial" w:hAnsi="Arial"/>
                <w:b/>
                <w:sz w:val="24"/>
              </w:rPr>
              <w:t>yrs</w:t>
            </w:r>
            <w:proofErr w:type="spellEnd"/>
            <w:r>
              <w:rPr>
                <w:rFonts w:ascii="Arial" w:hAnsi="Arial"/>
                <w:b/>
                <w:sz w:val="24"/>
              </w:rPr>
              <w:t>)</w:t>
            </w:r>
          </w:p>
          <w:p w14:paraId="462C9E04"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E05" w14:textId="31EC9769"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14.04 </w:t>
            </w:r>
          </w:p>
        </w:tc>
        <w:tc>
          <w:tcPr>
            <w:tcW w:w="1728" w:type="dxa"/>
            <w:tcBorders>
              <w:top w:val="nil"/>
              <w:left w:val="nil"/>
              <w:bottom w:val="single" w:sz="4" w:space="0" w:color="auto"/>
              <w:right w:val="single" w:sz="4" w:space="0" w:color="auto"/>
            </w:tcBorders>
            <w:shd w:val="clear" w:color="auto" w:fill="auto"/>
            <w:vAlign w:val="bottom"/>
          </w:tcPr>
          <w:p w14:paraId="462C9E06" w14:textId="36D9C8C9"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14.35 </w:t>
            </w:r>
          </w:p>
        </w:tc>
        <w:tc>
          <w:tcPr>
            <w:tcW w:w="1728" w:type="dxa"/>
            <w:tcBorders>
              <w:top w:val="nil"/>
              <w:left w:val="nil"/>
              <w:bottom w:val="single" w:sz="4" w:space="0" w:color="auto"/>
              <w:right w:val="single" w:sz="4" w:space="0" w:color="auto"/>
            </w:tcBorders>
            <w:shd w:val="clear" w:color="auto" w:fill="auto"/>
            <w:vAlign w:val="bottom"/>
          </w:tcPr>
          <w:p w14:paraId="462C9E07" w14:textId="698B28C2"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14.68 </w:t>
            </w:r>
          </w:p>
        </w:tc>
        <w:tc>
          <w:tcPr>
            <w:tcW w:w="1728" w:type="dxa"/>
            <w:tcBorders>
              <w:top w:val="nil"/>
              <w:left w:val="nil"/>
              <w:bottom w:val="single" w:sz="4" w:space="0" w:color="auto"/>
              <w:right w:val="single" w:sz="4" w:space="0" w:color="auto"/>
            </w:tcBorders>
            <w:shd w:val="clear" w:color="auto" w:fill="auto"/>
            <w:vAlign w:val="bottom"/>
          </w:tcPr>
          <w:p w14:paraId="462C9E08" w14:textId="2A30BF08"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15.08 </w:t>
            </w:r>
          </w:p>
        </w:tc>
        <w:tc>
          <w:tcPr>
            <w:tcW w:w="1728" w:type="dxa"/>
            <w:tcBorders>
              <w:top w:val="nil"/>
              <w:left w:val="nil"/>
              <w:bottom w:val="single" w:sz="4" w:space="0" w:color="auto"/>
              <w:right w:val="single" w:sz="4" w:space="0" w:color="auto"/>
            </w:tcBorders>
            <w:shd w:val="clear" w:color="auto" w:fill="auto"/>
            <w:vAlign w:val="bottom"/>
          </w:tcPr>
          <w:p w14:paraId="798DC9D8" w14:textId="21ED743A"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16.83 </w:t>
            </w:r>
          </w:p>
        </w:tc>
      </w:tr>
      <w:tr w:rsidR="004B3387" w14:paraId="462C9E11" w14:textId="4F8561A6" w:rsidTr="00E040E7">
        <w:tc>
          <w:tcPr>
            <w:tcW w:w="1728" w:type="dxa"/>
          </w:tcPr>
          <w:p w14:paraId="462C9E0A" w14:textId="77777777" w:rsidR="004B3387" w:rsidRDefault="004B3387" w:rsidP="004B3387">
            <w:pPr>
              <w:jc w:val="center"/>
              <w:rPr>
                <w:rFonts w:ascii="Arial" w:hAnsi="Arial"/>
                <w:b/>
                <w:sz w:val="24"/>
              </w:rPr>
            </w:pPr>
            <w:r>
              <w:rPr>
                <w:rFonts w:ascii="Arial" w:hAnsi="Arial"/>
                <w:b/>
                <w:sz w:val="24"/>
              </w:rPr>
              <w:t>4</w:t>
            </w:r>
          </w:p>
          <w:p w14:paraId="462C9E0B" w14:textId="77777777" w:rsidR="004B3387" w:rsidRDefault="004B3387" w:rsidP="004B3387">
            <w:pPr>
              <w:jc w:val="center"/>
              <w:rPr>
                <w:rFonts w:ascii="Arial" w:hAnsi="Arial"/>
                <w:b/>
                <w:sz w:val="24"/>
              </w:rPr>
            </w:pPr>
            <w:r>
              <w:rPr>
                <w:rFonts w:ascii="Arial" w:hAnsi="Arial"/>
                <w:b/>
                <w:sz w:val="24"/>
              </w:rPr>
              <w:t xml:space="preserve">(3 fiscal </w:t>
            </w:r>
            <w:proofErr w:type="spellStart"/>
            <w:r>
              <w:rPr>
                <w:rFonts w:ascii="Arial" w:hAnsi="Arial"/>
                <w:b/>
                <w:sz w:val="24"/>
              </w:rPr>
              <w:t>yrs</w:t>
            </w:r>
            <w:proofErr w:type="spellEnd"/>
            <w:r>
              <w:rPr>
                <w:rFonts w:ascii="Arial" w:hAnsi="Arial"/>
                <w:b/>
                <w:sz w:val="24"/>
              </w:rPr>
              <w:t>)</w:t>
            </w:r>
          </w:p>
          <w:p w14:paraId="462C9E0C"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E0D" w14:textId="1F3778FD"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14.39 </w:t>
            </w:r>
          </w:p>
        </w:tc>
        <w:tc>
          <w:tcPr>
            <w:tcW w:w="1728" w:type="dxa"/>
            <w:tcBorders>
              <w:top w:val="nil"/>
              <w:left w:val="nil"/>
              <w:bottom w:val="single" w:sz="4" w:space="0" w:color="auto"/>
              <w:right w:val="single" w:sz="4" w:space="0" w:color="auto"/>
            </w:tcBorders>
            <w:shd w:val="clear" w:color="auto" w:fill="auto"/>
            <w:vAlign w:val="bottom"/>
          </w:tcPr>
          <w:p w14:paraId="462C9E0E" w14:textId="7E900185"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14.70 </w:t>
            </w:r>
          </w:p>
        </w:tc>
        <w:tc>
          <w:tcPr>
            <w:tcW w:w="1728" w:type="dxa"/>
            <w:tcBorders>
              <w:top w:val="nil"/>
              <w:left w:val="nil"/>
              <w:bottom w:val="single" w:sz="4" w:space="0" w:color="auto"/>
              <w:right w:val="single" w:sz="4" w:space="0" w:color="auto"/>
            </w:tcBorders>
            <w:shd w:val="clear" w:color="auto" w:fill="auto"/>
            <w:vAlign w:val="bottom"/>
          </w:tcPr>
          <w:p w14:paraId="462C9E0F" w14:textId="48AED9B0"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15.03 </w:t>
            </w:r>
          </w:p>
        </w:tc>
        <w:tc>
          <w:tcPr>
            <w:tcW w:w="1728" w:type="dxa"/>
            <w:tcBorders>
              <w:top w:val="nil"/>
              <w:left w:val="nil"/>
              <w:bottom w:val="single" w:sz="4" w:space="0" w:color="auto"/>
              <w:right w:val="single" w:sz="4" w:space="0" w:color="auto"/>
            </w:tcBorders>
            <w:shd w:val="clear" w:color="auto" w:fill="auto"/>
            <w:vAlign w:val="bottom"/>
          </w:tcPr>
          <w:p w14:paraId="462C9E10" w14:textId="56FC5561"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15.43 </w:t>
            </w:r>
          </w:p>
        </w:tc>
        <w:tc>
          <w:tcPr>
            <w:tcW w:w="1728" w:type="dxa"/>
            <w:tcBorders>
              <w:top w:val="nil"/>
              <w:left w:val="nil"/>
              <w:bottom w:val="single" w:sz="4" w:space="0" w:color="auto"/>
              <w:right w:val="single" w:sz="4" w:space="0" w:color="auto"/>
            </w:tcBorders>
            <w:shd w:val="clear" w:color="auto" w:fill="auto"/>
            <w:vAlign w:val="bottom"/>
          </w:tcPr>
          <w:p w14:paraId="4AFFF2A6" w14:textId="0AFB523F"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17.18 </w:t>
            </w:r>
          </w:p>
        </w:tc>
      </w:tr>
      <w:tr w:rsidR="004B3387" w14:paraId="462C9E19" w14:textId="580C9FDF" w:rsidTr="00E040E7">
        <w:trPr>
          <w:trHeight w:val="782"/>
        </w:trPr>
        <w:tc>
          <w:tcPr>
            <w:tcW w:w="1728" w:type="dxa"/>
          </w:tcPr>
          <w:p w14:paraId="462C9E12" w14:textId="77777777" w:rsidR="004B3387" w:rsidRDefault="004B3387" w:rsidP="004B3387">
            <w:pPr>
              <w:jc w:val="center"/>
              <w:rPr>
                <w:rFonts w:ascii="Arial" w:hAnsi="Arial"/>
                <w:b/>
                <w:sz w:val="24"/>
              </w:rPr>
            </w:pPr>
            <w:r>
              <w:rPr>
                <w:rFonts w:ascii="Arial" w:hAnsi="Arial"/>
                <w:b/>
                <w:sz w:val="24"/>
              </w:rPr>
              <w:t>5</w:t>
            </w:r>
          </w:p>
          <w:p w14:paraId="462C9E13" w14:textId="77777777" w:rsidR="004B3387" w:rsidRDefault="004B3387" w:rsidP="004B3387">
            <w:pPr>
              <w:jc w:val="center"/>
              <w:rPr>
                <w:rFonts w:ascii="Arial" w:hAnsi="Arial"/>
                <w:b/>
                <w:sz w:val="24"/>
              </w:rPr>
            </w:pPr>
            <w:r>
              <w:rPr>
                <w:rFonts w:ascii="Arial" w:hAnsi="Arial"/>
                <w:b/>
                <w:sz w:val="24"/>
              </w:rPr>
              <w:t xml:space="preserve">(3 fiscal </w:t>
            </w:r>
            <w:proofErr w:type="spellStart"/>
            <w:r>
              <w:rPr>
                <w:rFonts w:ascii="Arial" w:hAnsi="Arial"/>
                <w:b/>
                <w:sz w:val="24"/>
              </w:rPr>
              <w:t>yrs</w:t>
            </w:r>
            <w:proofErr w:type="spellEnd"/>
            <w:r>
              <w:rPr>
                <w:rFonts w:ascii="Arial" w:hAnsi="Arial"/>
                <w:b/>
                <w:sz w:val="24"/>
              </w:rPr>
              <w:t>)</w:t>
            </w:r>
          </w:p>
          <w:p w14:paraId="462C9E14"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E15" w14:textId="13A8FF7A"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14.74 </w:t>
            </w:r>
          </w:p>
        </w:tc>
        <w:tc>
          <w:tcPr>
            <w:tcW w:w="1728" w:type="dxa"/>
            <w:tcBorders>
              <w:top w:val="nil"/>
              <w:left w:val="nil"/>
              <w:bottom w:val="single" w:sz="4" w:space="0" w:color="auto"/>
              <w:right w:val="single" w:sz="4" w:space="0" w:color="auto"/>
            </w:tcBorders>
            <w:shd w:val="clear" w:color="auto" w:fill="auto"/>
            <w:vAlign w:val="bottom"/>
          </w:tcPr>
          <w:p w14:paraId="462C9E16" w14:textId="075C1ED9"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15.05 </w:t>
            </w:r>
          </w:p>
        </w:tc>
        <w:tc>
          <w:tcPr>
            <w:tcW w:w="1728" w:type="dxa"/>
            <w:tcBorders>
              <w:top w:val="nil"/>
              <w:left w:val="nil"/>
              <w:bottom w:val="single" w:sz="4" w:space="0" w:color="auto"/>
              <w:right w:val="single" w:sz="4" w:space="0" w:color="auto"/>
            </w:tcBorders>
            <w:shd w:val="clear" w:color="auto" w:fill="auto"/>
            <w:vAlign w:val="bottom"/>
          </w:tcPr>
          <w:p w14:paraId="462C9E17" w14:textId="5E2CB8E7"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15.38 </w:t>
            </w:r>
          </w:p>
        </w:tc>
        <w:tc>
          <w:tcPr>
            <w:tcW w:w="1728" w:type="dxa"/>
            <w:tcBorders>
              <w:top w:val="nil"/>
              <w:left w:val="nil"/>
              <w:bottom w:val="single" w:sz="4" w:space="0" w:color="auto"/>
              <w:right w:val="single" w:sz="4" w:space="0" w:color="auto"/>
            </w:tcBorders>
            <w:shd w:val="clear" w:color="auto" w:fill="auto"/>
            <w:vAlign w:val="bottom"/>
          </w:tcPr>
          <w:p w14:paraId="462C9E18" w14:textId="44EC8CCD"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15.78 </w:t>
            </w:r>
          </w:p>
        </w:tc>
        <w:tc>
          <w:tcPr>
            <w:tcW w:w="1728" w:type="dxa"/>
            <w:tcBorders>
              <w:top w:val="nil"/>
              <w:left w:val="nil"/>
              <w:bottom w:val="single" w:sz="4" w:space="0" w:color="auto"/>
              <w:right w:val="single" w:sz="4" w:space="0" w:color="auto"/>
            </w:tcBorders>
            <w:shd w:val="clear" w:color="auto" w:fill="auto"/>
            <w:vAlign w:val="bottom"/>
          </w:tcPr>
          <w:p w14:paraId="775E187B" w14:textId="28F92A5B"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17.53 </w:t>
            </w:r>
          </w:p>
        </w:tc>
      </w:tr>
      <w:tr w:rsidR="004B3387" w14:paraId="462C9E21" w14:textId="6FDE2B27" w:rsidTr="00E040E7">
        <w:tc>
          <w:tcPr>
            <w:tcW w:w="1728" w:type="dxa"/>
          </w:tcPr>
          <w:p w14:paraId="462C9E1A" w14:textId="77777777" w:rsidR="004B3387" w:rsidRDefault="004B3387" w:rsidP="004B3387">
            <w:pPr>
              <w:jc w:val="center"/>
              <w:rPr>
                <w:rFonts w:ascii="Arial" w:hAnsi="Arial"/>
                <w:b/>
                <w:sz w:val="24"/>
              </w:rPr>
            </w:pPr>
            <w:r>
              <w:rPr>
                <w:rFonts w:ascii="Arial" w:hAnsi="Arial"/>
                <w:b/>
                <w:sz w:val="24"/>
              </w:rPr>
              <w:t>6</w:t>
            </w:r>
          </w:p>
          <w:p w14:paraId="462C9E1B" w14:textId="77777777" w:rsidR="004B3387" w:rsidRDefault="004B3387" w:rsidP="004B3387">
            <w:pPr>
              <w:jc w:val="center"/>
              <w:rPr>
                <w:rFonts w:ascii="Arial" w:hAnsi="Arial"/>
                <w:b/>
                <w:sz w:val="24"/>
              </w:rPr>
            </w:pPr>
            <w:r>
              <w:rPr>
                <w:rFonts w:ascii="Arial" w:hAnsi="Arial"/>
                <w:b/>
                <w:sz w:val="24"/>
              </w:rPr>
              <w:t xml:space="preserve">(1 fiscal </w:t>
            </w:r>
            <w:proofErr w:type="spellStart"/>
            <w:r>
              <w:rPr>
                <w:rFonts w:ascii="Arial" w:hAnsi="Arial"/>
                <w:b/>
                <w:sz w:val="24"/>
              </w:rPr>
              <w:t>yr</w:t>
            </w:r>
            <w:proofErr w:type="spellEnd"/>
            <w:r>
              <w:rPr>
                <w:rFonts w:ascii="Arial" w:hAnsi="Arial"/>
                <w:b/>
                <w:sz w:val="24"/>
              </w:rPr>
              <w:t>)</w:t>
            </w:r>
          </w:p>
          <w:p w14:paraId="462C9E1C"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E1D" w14:textId="5287CC87"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15.09 </w:t>
            </w:r>
          </w:p>
        </w:tc>
        <w:tc>
          <w:tcPr>
            <w:tcW w:w="1728" w:type="dxa"/>
            <w:tcBorders>
              <w:top w:val="nil"/>
              <w:left w:val="nil"/>
              <w:bottom w:val="single" w:sz="4" w:space="0" w:color="auto"/>
              <w:right w:val="single" w:sz="4" w:space="0" w:color="auto"/>
            </w:tcBorders>
            <w:shd w:val="clear" w:color="auto" w:fill="auto"/>
            <w:vAlign w:val="bottom"/>
          </w:tcPr>
          <w:p w14:paraId="462C9E1E" w14:textId="20DC25FC"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15.40 </w:t>
            </w:r>
          </w:p>
        </w:tc>
        <w:tc>
          <w:tcPr>
            <w:tcW w:w="1728" w:type="dxa"/>
            <w:tcBorders>
              <w:top w:val="nil"/>
              <w:left w:val="nil"/>
              <w:bottom w:val="single" w:sz="4" w:space="0" w:color="auto"/>
              <w:right w:val="single" w:sz="4" w:space="0" w:color="auto"/>
            </w:tcBorders>
            <w:shd w:val="clear" w:color="auto" w:fill="auto"/>
            <w:vAlign w:val="bottom"/>
          </w:tcPr>
          <w:p w14:paraId="462C9E1F" w14:textId="6A0BB647"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15.73 </w:t>
            </w:r>
          </w:p>
        </w:tc>
        <w:tc>
          <w:tcPr>
            <w:tcW w:w="1728" w:type="dxa"/>
            <w:tcBorders>
              <w:top w:val="nil"/>
              <w:left w:val="nil"/>
              <w:bottom w:val="single" w:sz="4" w:space="0" w:color="auto"/>
              <w:right w:val="single" w:sz="4" w:space="0" w:color="auto"/>
            </w:tcBorders>
            <w:shd w:val="clear" w:color="auto" w:fill="auto"/>
            <w:vAlign w:val="bottom"/>
          </w:tcPr>
          <w:p w14:paraId="462C9E20" w14:textId="27C4A2B9"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16.13 </w:t>
            </w:r>
          </w:p>
        </w:tc>
        <w:tc>
          <w:tcPr>
            <w:tcW w:w="1728" w:type="dxa"/>
            <w:tcBorders>
              <w:top w:val="nil"/>
              <w:left w:val="nil"/>
              <w:bottom w:val="single" w:sz="4" w:space="0" w:color="auto"/>
              <w:right w:val="single" w:sz="4" w:space="0" w:color="auto"/>
            </w:tcBorders>
            <w:shd w:val="clear" w:color="auto" w:fill="auto"/>
            <w:vAlign w:val="bottom"/>
          </w:tcPr>
          <w:p w14:paraId="392A7CC4" w14:textId="40AF81A3"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17.88 </w:t>
            </w:r>
          </w:p>
        </w:tc>
      </w:tr>
      <w:tr w:rsidR="004B3387" w14:paraId="462C9E2C" w14:textId="2E013FF3" w:rsidTr="00DD5353">
        <w:tc>
          <w:tcPr>
            <w:tcW w:w="1728" w:type="dxa"/>
          </w:tcPr>
          <w:p w14:paraId="462C9E22" w14:textId="787EE585" w:rsidR="004B3387" w:rsidRDefault="004B3387" w:rsidP="004B3387">
            <w:pPr>
              <w:jc w:val="center"/>
              <w:rPr>
                <w:rFonts w:ascii="Arial" w:hAnsi="Arial"/>
                <w:b/>
                <w:sz w:val="24"/>
              </w:rPr>
            </w:pPr>
            <w:r>
              <w:rPr>
                <w:rFonts w:ascii="Arial" w:hAnsi="Arial"/>
                <w:b/>
                <w:sz w:val="24"/>
              </w:rPr>
              <w:t>Longevity</w:t>
            </w:r>
          </w:p>
          <w:p w14:paraId="462C9E23" w14:textId="77777777" w:rsidR="004B3387" w:rsidRDefault="004B3387" w:rsidP="004B3387">
            <w:pPr>
              <w:jc w:val="center"/>
              <w:rPr>
                <w:rFonts w:ascii="Arial" w:hAnsi="Arial"/>
                <w:b/>
              </w:rPr>
            </w:pPr>
            <w:r>
              <w:rPr>
                <w:rFonts w:ascii="Arial" w:hAnsi="Arial"/>
                <w:b/>
              </w:rPr>
              <w:t xml:space="preserve">(after 1 </w:t>
            </w:r>
            <w:proofErr w:type="spellStart"/>
            <w:r>
              <w:rPr>
                <w:rFonts w:ascii="Arial" w:hAnsi="Arial"/>
                <w:b/>
              </w:rPr>
              <w:t>yr</w:t>
            </w:r>
            <w:proofErr w:type="spellEnd"/>
          </w:p>
          <w:p w14:paraId="462C9E24" w14:textId="77777777" w:rsidR="004B3387" w:rsidRDefault="004B3387" w:rsidP="004B3387">
            <w:pPr>
              <w:jc w:val="center"/>
              <w:rPr>
                <w:rFonts w:ascii="Arial" w:hAnsi="Arial"/>
                <w:b/>
              </w:rPr>
            </w:pPr>
            <w:r>
              <w:rPr>
                <w:rFonts w:ascii="Arial" w:hAnsi="Arial"/>
                <w:b/>
              </w:rPr>
              <w:t>10% of range</w:t>
            </w:r>
          </w:p>
          <w:p w14:paraId="462C9E25" w14:textId="77777777" w:rsidR="004B3387" w:rsidRDefault="004B3387" w:rsidP="004B3387">
            <w:pPr>
              <w:jc w:val="center"/>
              <w:rPr>
                <w:rFonts w:ascii="Arial" w:hAnsi="Arial"/>
                <w:b/>
              </w:rPr>
            </w:pPr>
            <w:r>
              <w:rPr>
                <w:rFonts w:ascii="Arial" w:hAnsi="Arial"/>
                <w:b/>
              </w:rPr>
              <w:t>1 of groups:</w:t>
            </w:r>
          </w:p>
          <w:p w14:paraId="462C9E26" w14:textId="64583E98" w:rsidR="004B3387" w:rsidRDefault="004B3387" w:rsidP="004B3387">
            <w:pPr>
              <w:jc w:val="center"/>
              <w:rPr>
                <w:rFonts w:ascii="Arial" w:hAnsi="Arial"/>
                <w:b/>
              </w:rPr>
            </w:pPr>
            <w:r>
              <w:rPr>
                <w:rFonts w:ascii="Arial" w:hAnsi="Arial"/>
                <w:b/>
              </w:rPr>
              <w:t>A,B,C,D, or E)</w:t>
            </w:r>
          </w:p>
          <w:p w14:paraId="462C9E27" w14:textId="77777777" w:rsidR="004B3387" w:rsidRDefault="004B3387" w:rsidP="004B3387">
            <w:pPr>
              <w:jc w:val="center"/>
              <w:rPr>
                <w:rFonts w:ascii="Arial" w:hAnsi="Arial"/>
                <w:b/>
                <w:sz w:val="24"/>
              </w:rPr>
            </w:pPr>
          </w:p>
        </w:tc>
        <w:tc>
          <w:tcPr>
            <w:tcW w:w="1728" w:type="dxa"/>
            <w:tcBorders>
              <w:top w:val="nil"/>
              <w:left w:val="single" w:sz="4" w:space="0" w:color="auto"/>
              <w:bottom w:val="single" w:sz="4" w:space="0" w:color="auto"/>
              <w:right w:val="single" w:sz="4" w:space="0" w:color="auto"/>
            </w:tcBorders>
            <w:shd w:val="clear" w:color="auto" w:fill="auto"/>
            <w:vAlign w:val="bottom"/>
          </w:tcPr>
          <w:p w14:paraId="462C9E28" w14:textId="1A020C36"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16.42 </w:t>
            </w:r>
          </w:p>
        </w:tc>
        <w:tc>
          <w:tcPr>
            <w:tcW w:w="1728" w:type="dxa"/>
            <w:tcBorders>
              <w:top w:val="nil"/>
              <w:left w:val="nil"/>
              <w:bottom w:val="single" w:sz="4" w:space="0" w:color="auto"/>
              <w:right w:val="single" w:sz="4" w:space="0" w:color="auto"/>
            </w:tcBorders>
            <w:shd w:val="clear" w:color="auto" w:fill="auto"/>
            <w:vAlign w:val="bottom"/>
          </w:tcPr>
          <w:p w14:paraId="462C9E29" w14:textId="5B9B2D3C"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16.76 </w:t>
            </w:r>
          </w:p>
        </w:tc>
        <w:tc>
          <w:tcPr>
            <w:tcW w:w="1728" w:type="dxa"/>
            <w:tcBorders>
              <w:top w:val="nil"/>
              <w:left w:val="nil"/>
              <w:bottom w:val="single" w:sz="4" w:space="0" w:color="auto"/>
              <w:right w:val="single" w:sz="4" w:space="0" w:color="auto"/>
            </w:tcBorders>
            <w:shd w:val="clear" w:color="auto" w:fill="auto"/>
            <w:vAlign w:val="bottom"/>
          </w:tcPr>
          <w:p w14:paraId="462C9E2A" w14:textId="6B234AC9"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17.13 </w:t>
            </w:r>
          </w:p>
        </w:tc>
        <w:tc>
          <w:tcPr>
            <w:tcW w:w="1728" w:type="dxa"/>
            <w:tcBorders>
              <w:top w:val="nil"/>
              <w:left w:val="nil"/>
              <w:bottom w:val="single" w:sz="4" w:space="0" w:color="auto"/>
              <w:right w:val="single" w:sz="4" w:space="0" w:color="auto"/>
            </w:tcBorders>
            <w:shd w:val="clear" w:color="auto" w:fill="auto"/>
            <w:vAlign w:val="bottom"/>
          </w:tcPr>
          <w:p w14:paraId="462C9E2B" w14:textId="43F8E1C1"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17.57 </w:t>
            </w:r>
          </w:p>
        </w:tc>
        <w:tc>
          <w:tcPr>
            <w:tcW w:w="1728" w:type="dxa"/>
            <w:tcBorders>
              <w:top w:val="nil"/>
              <w:left w:val="nil"/>
              <w:bottom w:val="single" w:sz="4" w:space="0" w:color="auto"/>
              <w:right w:val="single" w:sz="4" w:space="0" w:color="auto"/>
            </w:tcBorders>
            <w:shd w:val="clear" w:color="auto" w:fill="auto"/>
            <w:vAlign w:val="bottom"/>
          </w:tcPr>
          <w:p w14:paraId="00FF1177" w14:textId="3DF96FC5" w:rsidR="004B3387" w:rsidRPr="004B3387" w:rsidRDefault="004B3387" w:rsidP="004B3387">
            <w:pPr>
              <w:jc w:val="center"/>
              <w:rPr>
                <w:rFonts w:ascii="Arial" w:hAnsi="Arial" w:cs="Arial"/>
                <w:b/>
                <w:sz w:val="24"/>
                <w:szCs w:val="24"/>
              </w:rPr>
            </w:pPr>
            <w:r w:rsidRPr="004B3387">
              <w:rPr>
                <w:rFonts w:ascii="Arial" w:hAnsi="Arial" w:cs="Arial"/>
                <w:b/>
                <w:color w:val="000000"/>
                <w:sz w:val="24"/>
                <w:szCs w:val="24"/>
              </w:rPr>
              <w:t xml:space="preserve">        19.49 </w:t>
            </w:r>
          </w:p>
        </w:tc>
      </w:tr>
      <w:tr w:rsidR="004B3387" w14:paraId="462C9E32" w14:textId="544DC0F2" w:rsidTr="00122140">
        <w:tc>
          <w:tcPr>
            <w:tcW w:w="1728" w:type="dxa"/>
          </w:tcPr>
          <w:p w14:paraId="462C9E2D" w14:textId="77777777" w:rsidR="004B3387" w:rsidRDefault="004B3387" w:rsidP="004B3387">
            <w:pPr>
              <w:jc w:val="center"/>
              <w:rPr>
                <w:rFonts w:ascii="Arial" w:hAnsi="Arial"/>
                <w:b/>
                <w:sz w:val="24"/>
              </w:rPr>
            </w:pPr>
          </w:p>
        </w:tc>
        <w:tc>
          <w:tcPr>
            <w:tcW w:w="1728" w:type="dxa"/>
          </w:tcPr>
          <w:p w14:paraId="462C9E2E" w14:textId="77777777" w:rsidR="004B3387" w:rsidRDefault="004B3387" w:rsidP="004B3387">
            <w:pPr>
              <w:jc w:val="center"/>
              <w:rPr>
                <w:rFonts w:ascii="Arial" w:hAnsi="Arial"/>
                <w:b/>
                <w:sz w:val="24"/>
              </w:rPr>
            </w:pPr>
          </w:p>
        </w:tc>
        <w:tc>
          <w:tcPr>
            <w:tcW w:w="1728" w:type="dxa"/>
          </w:tcPr>
          <w:p w14:paraId="462C9E2F" w14:textId="77777777" w:rsidR="004B3387" w:rsidRDefault="004B3387" w:rsidP="004B3387">
            <w:pPr>
              <w:jc w:val="center"/>
              <w:rPr>
                <w:rFonts w:ascii="Arial" w:hAnsi="Arial"/>
                <w:b/>
                <w:sz w:val="24"/>
              </w:rPr>
            </w:pPr>
          </w:p>
        </w:tc>
        <w:tc>
          <w:tcPr>
            <w:tcW w:w="1728" w:type="dxa"/>
          </w:tcPr>
          <w:p w14:paraId="462C9E30" w14:textId="77777777" w:rsidR="004B3387" w:rsidRDefault="004B3387" w:rsidP="004B3387">
            <w:pPr>
              <w:jc w:val="center"/>
              <w:rPr>
                <w:rFonts w:ascii="Arial" w:hAnsi="Arial"/>
                <w:b/>
                <w:sz w:val="24"/>
              </w:rPr>
            </w:pPr>
          </w:p>
        </w:tc>
        <w:tc>
          <w:tcPr>
            <w:tcW w:w="1728" w:type="dxa"/>
          </w:tcPr>
          <w:p w14:paraId="462C9E31" w14:textId="77777777" w:rsidR="004B3387" w:rsidRDefault="004B3387" w:rsidP="004B3387">
            <w:pPr>
              <w:jc w:val="center"/>
              <w:rPr>
                <w:rFonts w:ascii="Arial" w:hAnsi="Arial"/>
                <w:b/>
                <w:sz w:val="24"/>
              </w:rPr>
            </w:pPr>
          </w:p>
        </w:tc>
        <w:tc>
          <w:tcPr>
            <w:tcW w:w="1728" w:type="dxa"/>
          </w:tcPr>
          <w:p w14:paraId="45EFDF07" w14:textId="77777777" w:rsidR="004B3387" w:rsidRDefault="004B3387" w:rsidP="004B3387">
            <w:pPr>
              <w:jc w:val="center"/>
              <w:rPr>
                <w:rFonts w:ascii="Arial" w:hAnsi="Arial"/>
                <w:b/>
                <w:sz w:val="24"/>
              </w:rPr>
            </w:pPr>
          </w:p>
        </w:tc>
      </w:tr>
    </w:tbl>
    <w:p w14:paraId="462C9E33" w14:textId="77777777" w:rsidR="00B55748" w:rsidRDefault="00B55748">
      <w:pPr>
        <w:jc w:val="center"/>
        <w:rPr>
          <w:rFonts w:ascii="Arial" w:hAnsi="Arial"/>
          <w:sz w:val="24"/>
        </w:rPr>
      </w:pPr>
    </w:p>
    <w:p w14:paraId="462C9E34" w14:textId="77777777" w:rsidR="00CD10DC" w:rsidRPr="00E84B48" w:rsidRDefault="00B55748" w:rsidP="00CD10DC">
      <w:pPr>
        <w:pStyle w:val="BodyText"/>
        <w:rPr>
          <w:sz w:val="20"/>
        </w:rPr>
      </w:pPr>
      <w:r w:rsidRPr="00E84B48">
        <w:rPr>
          <w:sz w:val="20"/>
        </w:rPr>
        <w:t xml:space="preserve">New employees will start in the </w:t>
      </w:r>
      <w:smartTag w:uri="urn:schemas-microsoft-com:office:smarttags" w:element="place">
        <w:smartTag w:uri="urn:schemas-microsoft-com:office:smarttags" w:element="PlaceName">
          <w:r w:rsidRPr="00E84B48">
            <w:rPr>
              <w:sz w:val="20"/>
            </w:rPr>
            <w:t>Probationary</w:t>
          </w:r>
        </w:smartTag>
        <w:r w:rsidRPr="00E84B48">
          <w:rPr>
            <w:sz w:val="20"/>
          </w:rPr>
          <w:t xml:space="preserve"> </w:t>
        </w:r>
        <w:smartTag w:uri="urn:schemas-microsoft-com:office:smarttags" w:element="PlaceType">
          <w:r w:rsidRPr="00E84B48">
            <w:rPr>
              <w:sz w:val="20"/>
            </w:rPr>
            <w:t>Range</w:t>
          </w:r>
        </w:smartTag>
      </w:smartTag>
      <w:r w:rsidRPr="00E84B48">
        <w:rPr>
          <w:sz w:val="20"/>
        </w:rPr>
        <w:t xml:space="preserve"> unless experienced in their field, then they will start at a Range designated by the Human Resources Management Department and advance according to years of experience with the Des Moines Public Schools.  Employees at the maximum of their salary Group will be provided an additional </w:t>
      </w:r>
      <w:r w:rsidR="005D3669" w:rsidRPr="00E84B48">
        <w:rPr>
          <w:sz w:val="20"/>
        </w:rPr>
        <w:t>hourly</w:t>
      </w:r>
      <w:r w:rsidRPr="00E84B48">
        <w:rPr>
          <w:sz w:val="20"/>
        </w:rPr>
        <w:t xml:space="preserve"> salary adjustment after one year in Range 6.  This </w:t>
      </w:r>
      <w:r w:rsidR="005D3669" w:rsidRPr="00E84B48">
        <w:rPr>
          <w:sz w:val="20"/>
        </w:rPr>
        <w:t>hourly</w:t>
      </w:r>
      <w:r w:rsidRPr="00E84B48">
        <w:rPr>
          <w:sz w:val="20"/>
        </w:rPr>
        <w:t xml:space="preserve"> salary shall be equal to </w:t>
      </w:r>
      <w:r w:rsidR="00EB7D02" w:rsidRPr="00E84B48">
        <w:rPr>
          <w:b/>
          <w:sz w:val="20"/>
        </w:rPr>
        <w:t>10</w:t>
      </w:r>
      <w:r w:rsidR="00C11C8B" w:rsidRPr="00E84B48">
        <w:rPr>
          <w:b/>
          <w:sz w:val="20"/>
        </w:rPr>
        <w:t>%</w:t>
      </w:r>
      <w:r w:rsidRPr="00E84B48">
        <w:rPr>
          <w:sz w:val="20"/>
        </w:rPr>
        <w:t xml:space="preserve"> of Range 1 of their salary Group</w:t>
      </w:r>
      <w:r w:rsidR="00F4578F" w:rsidRPr="00E84B48">
        <w:rPr>
          <w:sz w:val="20"/>
        </w:rPr>
        <w:t xml:space="preserve"> and is </w:t>
      </w:r>
      <w:r w:rsidR="00F4578F" w:rsidRPr="00E77174">
        <w:rPr>
          <w:i/>
          <w:sz w:val="20"/>
          <w:u w:val="single"/>
        </w:rPr>
        <w:t>included</w:t>
      </w:r>
      <w:r w:rsidR="00F4578F" w:rsidRPr="00E84B48">
        <w:rPr>
          <w:sz w:val="20"/>
        </w:rPr>
        <w:t xml:space="preserve"> on the above schedule</w:t>
      </w:r>
      <w:r w:rsidRPr="00E84B48">
        <w:rPr>
          <w:sz w:val="20"/>
        </w:rPr>
        <w:t>.</w:t>
      </w:r>
      <w:r w:rsidR="00CD10DC" w:rsidRPr="00E84B48">
        <w:rPr>
          <w:sz w:val="20"/>
        </w:rPr>
        <w:t xml:space="preserve">  </w:t>
      </w:r>
    </w:p>
    <w:p w14:paraId="462C9E35" w14:textId="77777777" w:rsidR="005D3669" w:rsidRPr="00E84B48" w:rsidRDefault="005D3669" w:rsidP="00CD10DC">
      <w:pPr>
        <w:pStyle w:val="BodyText"/>
        <w:rPr>
          <w:sz w:val="20"/>
        </w:rPr>
      </w:pPr>
    </w:p>
    <w:p w14:paraId="462C9E36" w14:textId="77777777" w:rsidR="00CD10DC" w:rsidRPr="00E84B48" w:rsidRDefault="00CD10DC" w:rsidP="00CD10DC">
      <w:pPr>
        <w:pStyle w:val="BodyText"/>
        <w:rPr>
          <w:sz w:val="20"/>
        </w:rPr>
      </w:pPr>
      <w:r w:rsidRPr="00E84B48">
        <w:rPr>
          <w:sz w:val="20"/>
        </w:rPr>
        <w:t>$.35 between each Range</w:t>
      </w:r>
      <w:r w:rsidRPr="00E84B48">
        <w:rPr>
          <w:sz w:val="20"/>
        </w:rPr>
        <w:tab/>
      </w:r>
      <w:r w:rsidRPr="00E84B48">
        <w:rPr>
          <w:sz w:val="20"/>
        </w:rPr>
        <w:tab/>
      </w:r>
      <w:r w:rsidRPr="00E84B48">
        <w:rPr>
          <w:sz w:val="20"/>
        </w:rPr>
        <w:tab/>
        <w:t>$.31 between Group A and Group B</w:t>
      </w:r>
    </w:p>
    <w:p w14:paraId="462C9E37" w14:textId="77777777" w:rsidR="00CD10DC" w:rsidRPr="00E84B48" w:rsidRDefault="00CD10DC" w:rsidP="00CD10DC">
      <w:pPr>
        <w:pStyle w:val="BodyText"/>
        <w:rPr>
          <w:sz w:val="20"/>
        </w:rPr>
      </w:pPr>
      <w:r w:rsidRPr="00E84B48">
        <w:rPr>
          <w:sz w:val="20"/>
        </w:rPr>
        <w:tab/>
      </w:r>
      <w:r w:rsidRPr="00E84B48">
        <w:rPr>
          <w:sz w:val="20"/>
        </w:rPr>
        <w:tab/>
      </w:r>
      <w:r w:rsidRPr="00E84B48">
        <w:rPr>
          <w:sz w:val="20"/>
        </w:rPr>
        <w:tab/>
      </w:r>
      <w:r w:rsidRPr="00E84B48">
        <w:rPr>
          <w:sz w:val="20"/>
        </w:rPr>
        <w:tab/>
      </w:r>
      <w:r w:rsidRPr="00E84B48">
        <w:rPr>
          <w:sz w:val="20"/>
        </w:rPr>
        <w:tab/>
      </w:r>
      <w:r w:rsidRPr="00E84B48">
        <w:rPr>
          <w:sz w:val="20"/>
        </w:rPr>
        <w:tab/>
        <w:t>$.33 between Group B and Group C</w:t>
      </w:r>
    </w:p>
    <w:p w14:paraId="480A986C" w14:textId="77777777" w:rsidR="004067AD" w:rsidRDefault="00CD10DC">
      <w:pPr>
        <w:pStyle w:val="BodyText"/>
        <w:rPr>
          <w:sz w:val="20"/>
        </w:rPr>
      </w:pPr>
      <w:r w:rsidRPr="00E84B48">
        <w:rPr>
          <w:sz w:val="20"/>
        </w:rPr>
        <w:tab/>
      </w:r>
      <w:r w:rsidRPr="00E84B48">
        <w:rPr>
          <w:sz w:val="20"/>
        </w:rPr>
        <w:tab/>
      </w:r>
      <w:r w:rsidRPr="00E84B48">
        <w:rPr>
          <w:sz w:val="20"/>
        </w:rPr>
        <w:tab/>
      </w:r>
      <w:r w:rsidRPr="00E84B48">
        <w:rPr>
          <w:sz w:val="20"/>
        </w:rPr>
        <w:tab/>
      </w:r>
      <w:r w:rsidRPr="00E84B48">
        <w:rPr>
          <w:sz w:val="20"/>
        </w:rPr>
        <w:tab/>
      </w:r>
      <w:r w:rsidRPr="00E84B48">
        <w:rPr>
          <w:sz w:val="20"/>
        </w:rPr>
        <w:tab/>
        <w:t>$.40 between Group C and Group D</w:t>
      </w:r>
    </w:p>
    <w:p w14:paraId="462C9E38" w14:textId="64C5C134" w:rsidR="00B55748" w:rsidRPr="00E84B48" w:rsidRDefault="003A7FCC">
      <w:pPr>
        <w:pStyle w:val="BodyText"/>
        <w:rPr>
          <w:sz w:val="20"/>
        </w:rPr>
      </w:pPr>
      <w:r>
        <w:rPr>
          <w:sz w:val="20"/>
        </w:rPr>
        <w:tab/>
      </w:r>
      <w:r>
        <w:rPr>
          <w:sz w:val="20"/>
        </w:rPr>
        <w:tab/>
      </w:r>
      <w:r>
        <w:rPr>
          <w:sz w:val="20"/>
        </w:rPr>
        <w:tab/>
      </w:r>
      <w:r>
        <w:rPr>
          <w:sz w:val="20"/>
        </w:rPr>
        <w:tab/>
      </w:r>
      <w:r>
        <w:rPr>
          <w:sz w:val="20"/>
        </w:rPr>
        <w:tab/>
      </w:r>
      <w:r>
        <w:rPr>
          <w:sz w:val="20"/>
        </w:rPr>
        <w:tab/>
        <w:t>$1.75</w:t>
      </w:r>
      <w:r w:rsidR="004067AD">
        <w:rPr>
          <w:sz w:val="20"/>
        </w:rPr>
        <w:t xml:space="preserve"> between Group D and Group E</w:t>
      </w:r>
      <w:r w:rsidR="00CD10DC" w:rsidRPr="00E84B48">
        <w:rPr>
          <w:sz w:val="20"/>
        </w:rPr>
        <w:t xml:space="preserve"> </w:t>
      </w:r>
    </w:p>
    <w:p w14:paraId="462C9E39" w14:textId="77777777" w:rsidR="005D3669" w:rsidRPr="00E84B48" w:rsidRDefault="005D3669">
      <w:pPr>
        <w:pStyle w:val="BodyText"/>
        <w:rPr>
          <w:sz w:val="20"/>
        </w:rPr>
      </w:pPr>
    </w:p>
    <w:p w14:paraId="462C9E3A" w14:textId="0726F19E" w:rsidR="00B55748" w:rsidRDefault="005D3669">
      <w:pPr>
        <w:pStyle w:val="BodyText"/>
        <w:rPr>
          <w:sz w:val="20"/>
        </w:rPr>
      </w:pPr>
      <w:r w:rsidRPr="00E84B48">
        <w:rPr>
          <w:sz w:val="20"/>
        </w:rPr>
        <w:t>An additional</w:t>
      </w:r>
      <w:r w:rsidR="00000E8C">
        <w:rPr>
          <w:sz w:val="20"/>
        </w:rPr>
        <w:t xml:space="preserve"> </w:t>
      </w:r>
      <w:r w:rsidRPr="00E84B48">
        <w:rPr>
          <w:sz w:val="20"/>
        </w:rPr>
        <w:t>.</w:t>
      </w:r>
      <w:r w:rsidR="00000E8C">
        <w:rPr>
          <w:sz w:val="20"/>
        </w:rPr>
        <w:t>25</w:t>
      </w:r>
      <w:r w:rsidRPr="00E84B48">
        <w:rPr>
          <w:sz w:val="20"/>
        </w:rPr>
        <w:t xml:space="preserve"> </w:t>
      </w:r>
      <w:r w:rsidR="00000E8C">
        <w:rPr>
          <w:sz w:val="20"/>
        </w:rPr>
        <w:t>per day</w:t>
      </w:r>
      <w:r w:rsidRPr="00E84B48">
        <w:rPr>
          <w:sz w:val="20"/>
        </w:rPr>
        <w:t xml:space="preserve"> will be paid for each additional 15 semester hours of staff development or college work toward a BA degree.</w:t>
      </w:r>
    </w:p>
    <w:p w14:paraId="462C9E3B" w14:textId="32787073" w:rsidR="00E84B48" w:rsidRPr="005F102D" w:rsidRDefault="00E84B48" w:rsidP="005F102D">
      <w:pPr>
        <w:pStyle w:val="Subtitle"/>
        <w:jc w:val="left"/>
        <w:rPr>
          <w:i w:val="0"/>
          <w:sz w:val="20"/>
        </w:rPr>
      </w:pPr>
    </w:p>
    <w:sectPr w:rsidR="00E84B48" w:rsidRPr="005F102D" w:rsidSect="00122140">
      <w:footerReference w:type="default" r:id="rId10"/>
      <w:pgSz w:w="12240" w:h="15840"/>
      <w:pgMar w:top="720" w:right="180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1FF7B" w14:textId="77777777" w:rsidR="008E5B45" w:rsidRDefault="008E5B45">
      <w:r>
        <w:separator/>
      </w:r>
    </w:p>
  </w:endnote>
  <w:endnote w:type="continuationSeparator" w:id="0">
    <w:p w14:paraId="091C498D" w14:textId="77777777" w:rsidR="008E5B45" w:rsidRDefault="008E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9E42" w14:textId="5F583F1D" w:rsidR="0012023C" w:rsidRPr="00F4578F" w:rsidRDefault="003A7FCC" w:rsidP="003A7FCC">
    <w:pPr>
      <w:pStyle w:val="Footer"/>
      <w:jc w:val="right"/>
      <w:rPr>
        <w:rFonts w:ascii="Arial" w:hAnsi="Arial"/>
        <w:sz w:val="15"/>
        <w:szCs w:val="15"/>
      </w:rPr>
    </w:pPr>
    <w:proofErr w:type="spellStart"/>
    <w:proofErr w:type="gramStart"/>
    <w:r>
      <w:rPr>
        <w:rFonts w:ascii="Arial" w:hAnsi="Arial"/>
        <w:sz w:val="15"/>
        <w:szCs w:val="15"/>
      </w:rPr>
      <w:t>pd</w:t>
    </w:r>
    <w:proofErr w:type="spellEnd"/>
    <w:proofErr w:type="gramEnd"/>
  </w:p>
  <w:p w14:paraId="462C9E43" w14:textId="4A2BE73F" w:rsidR="0012023C" w:rsidRPr="00F4578F" w:rsidRDefault="003A7FCC" w:rsidP="00F4578F">
    <w:pPr>
      <w:pStyle w:val="Footer"/>
      <w:jc w:val="right"/>
      <w:rPr>
        <w:rFonts w:ascii="Arial" w:hAnsi="Arial"/>
        <w:sz w:val="15"/>
        <w:szCs w:val="15"/>
      </w:rPr>
    </w:pPr>
    <w:r>
      <w:rPr>
        <w:rFonts w:ascii="Arial" w:hAnsi="Arial"/>
        <w:sz w:val="15"/>
        <w:szCs w:val="15"/>
      </w:rPr>
      <w:t>04/11/2016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73F1" w14:textId="77777777" w:rsidR="008E5B45" w:rsidRDefault="008E5B45">
      <w:r>
        <w:separator/>
      </w:r>
    </w:p>
  </w:footnote>
  <w:footnote w:type="continuationSeparator" w:id="0">
    <w:p w14:paraId="711EA248" w14:textId="77777777" w:rsidR="008E5B45" w:rsidRDefault="008E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7B"/>
    <w:rsid w:val="00000E8C"/>
    <w:rsid w:val="00014C59"/>
    <w:rsid w:val="000158B0"/>
    <w:rsid w:val="00033D08"/>
    <w:rsid w:val="00072077"/>
    <w:rsid w:val="00075E75"/>
    <w:rsid w:val="000A1289"/>
    <w:rsid w:val="000B1D8D"/>
    <w:rsid w:val="000C7238"/>
    <w:rsid w:val="000E4074"/>
    <w:rsid w:val="000E79A4"/>
    <w:rsid w:val="000F524C"/>
    <w:rsid w:val="00100912"/>
    <w:rsid w:val="0012023C"/>
    <w:rsid w:val="00122140"/>
    <w:rsid w:val="001A52C1"/>
    <w:rsid w:val="00202CDC"/>
    <w:rsid w:val="00224287"/>
    <w:rsid w:val="00267164"/>
    <w:rsid w:val="00271A9C"/>
    <w:rsid w:val="00274431"/>
    <w:rsid w:val="002747C7"/>
    <w:rsid w:val="00292101"/>
    <w:rsid w:val="00297D17"/>
    <w:rsid w:val="002D691E"/>
    <w:rsid w:val="002F0B4A"/>
    <w:rsid w:val="002F1166"/>
    <w:rsid w:val="00304083"/>
    <w:rsid w:val="00305845"/>
    <w:rsid w:val="00344067"/>
    <w:rsid w:val="00350156"/>
    <w:rsid w:val="0038481D"/>
    <w:rsid w:val="003968AA"/>
    <w:rsid w:val="003A7FCC"/>
    <w:rsid w:val="003E1A81"/>
    <w:rsid w:val="004067AD"/>
    <w:rsid w:val="004260FE"/>
    <w:rsid w:val="004457A5"/>
    <w:rsid w:val="00483CFB"/>
    <w:rsid w:val="00484933"/>
    <w:rsid w:val="004A11A3"/>
    <w:rsid w:val="004A17B1"/>
    <w:rsid w:val="004B3387"/>
    <w:rsid w:val="004B44B7"/>
    <w:rsid w:val="004D4E2A"/>
    <w:rsid w:val="004E5047"/>
    <w:rsid w:val="005542A1"/>
    <w:rsid w:val="005D3669"/>
    <w:rsid w:val="005F102D"/>
    <w:rsid w:val="005F1BF3"/>
    <w:rsid w:val="006211AF"/>
    <w:rsid w:val="00657558"/>
    <w:rsid w:val="006828DE"/>
    <w:rsid w:val="006C4A50"/>
    <w:rsid w:val="006D0A01"/>
    <w:rsid w:val="006D697B"/>
    <w:rsid w:val="006F6515"/>
    <w:rsid w:val="007652DB"/>
    <w:rsid w:val="00790032"/>
    <w:rsid w:val="007D6C66"/>
    <w:rsid w:val="007E057F"/>
    <w:rsid w:val="007F0A0D"/>
    <w:rsid w:val="00837DF6"/>
    <w:rsid w:val="008562B2"/>
    <w:rsid w:val="00861A3D"/>
    <w:rsid w:val="00861A4D"/>
    <w:rsid w:val="00866259"/>
    <w:rsid w:val="008D4510"/>
    <w:rsid w:val="008E016C"/>
    <w:rsid w:val="008E5B45"/>
    <w:rsid w:val="008E77F5"/>
    <w:rsid w:val="00906AF7"/>
    <w:rsid w:val="00936BFF"/>
    <w:rsid w:val="009574DB"/>
    <w:rsid w:val="00961F94"/>
    <w:rsid w:val="009676EC"/>
    <w:rsid w:val="00996027"/>
    <w:rsid w:val="009A3CE7"/>
    <w:rsid w:val="009B0E28"/>
    <w:rsid w:val="009E11EF"/>
    <w:rsid w:val="009F74CF"/>
    <w:rsid w:val="00A211BB"/>
    <w:rsid w:val="00A35C50"/>
    <w:rsid w:val="00A42FD6"/>
    <w:rsid w:val="00A5660B"/>
    <w:rsid w:val="00A777A5"/>
    <w:rsid w:val="00A92B7D"/>
    <w:rsid w:val="00AB3EA9"/>
    <w:rsid w:val="00AB417B"/>
    <w:rsid w:val="00B55748"/>
    <w:rsid w:val="00B74B2E"/>
    <w:rsid w:val="00B833B5"/>
    <w:rsid w:val="00BA0B07"/>
    <w:rsid w:val="00BE24FD"/>
    <w:rsid w:val="00BE5833"/>
    <w:rsid w:val="00C11C8B"/>
    <w:rsid w:val="00C1507A"/>
    <w:rsid w:val="00C36ED6"/>
    <w:rsid w:val="00C455BD"/>
    <w:rsid w:val="00C47374"/>
    <w:rsid w:val="00C70A0C"/>
    <w:rsid w:val="00CA3F09"/>
    <w:rsid w:val="00CB2CD0"/>
    <w:rsid w:val="00CD10DC"/>
    <w:rsid w:val="00CF08A9"/>
    <w:rsid w:val="00D32668"/>
    <w:rsid w:val="00D71554"/>
    <w:rsid w:val="00D74CC7"/>
    <w:rsid w:val="00D9631D"/>
    <w:rsid w:val="00DB39E7"/>
    <w:rsid w:val="00DD4872"/>
    <w:rsid w:val="00DE2C66"/>
    <w:rsid w:val="00DE6831"/>
    <w:rsid w:val="00E34EB5"/>
    <w:rsid w:val="00E5141F"/>
    <w:rsid w:val="00E53C24"/>
    <w:rsid w:val="00E75B80"/>
    <w:rsid w:val="00E77174"/>
    <w:rsid w:val="00E84B48"/>
    <w:rsid w:val="00EB7D02"/>
    <w:rsid w:val="00EC4DBD"/>
    <w:rsid w:val="00EE72E2"/>
    <w:rsid w:val="00F32148"/>
    <w:rsid w:val="00F37FD2"/>
    <w:rsid w:val="00F4578F"/>
    <w:rsid w:val="00F61D5D"/>
    <w:rsid w:val="00F768E4"/>
    <w:rsid w:val="00F77783"/>
    <w:rsid w:val="00F85EBB"/>
    <w:rsid w:val="00FA680F"/>
    <w:rsid w:val="00FB1B08"/>
    <w:rsid w:val="00FB4C73"/>
    <w:rsid w:val="00FD1CB6"/>
    <w:rsid w:val="00FD67FA"/>
    <w:rsid w:val="00FE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2C9DDE"/>
  <w15:docId w15:val="{DB789615-CD89-43E4-B5E8-87DD8BF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33"/>
  </w:style>
  <w:style w:type="paragraph" w:styleId="Heading1">
    <w:name w:val="heading 1"/>
    <w:basedOn w:val="Normal"/>
    <w:next w:val="Normal"/>
    <w:qFormat/>
    <w:rsid w:val="00484933"/>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4933"/>
    <w:pPr>
      <w:jc w:val="center"/>
    </w:pPr>
    <w:rPr>
      <w:rFonts w:ascii="Arial" w:hAnsi="Arial"/>
      <w:sz w:val="24"/>
    </w:rPr>
  </w:style>
  <w:style w:type="paragraph" w:styleId="BodyText">
    <w:name w:val="Body Text"/>
    <w:basedOn w:val="Normal"/>
    <w:rsid w:val="00484933"/>
    <w:pPr>
      <w:jc w:val="both"/>
    </w:pPr>
    <w:rPr>
      <w:rFonts w:ascii="Arial" w:hAnsi="Arial"/>
      <w:sz w:val="24"/>
    </w:rPr>
  </w:style>
  <w:style w:type="paragraph" w:styleId="Subtitle">
    <w:name w:val="Subtitle"/>
    <w:basedOn w:val="Normal"/>
    <w:qFormat/>
    <w:rsid w:val="00484933"/>
    <w:pPr>
      <w:jc w:val="center"/>
    </w:pPr>
    <w:rPr>
      <w:rFonts w:ascii="Arial" w:hAnsi="Arial"/>
      <w:i/>
      <w:sz w:val="24"/>
    </w:rPr>
  </w:style>
  <w:style w:type="paragraph" w:styleId="Header">
    <w:name w:val="header"/>
    <w:basedOn w:val="Normal"/>
    <w:rsid w:val="00906AF7"/>
    <w:pPr>
      <w:tabs>
        <w:tab w:val="center" w:pos="4320"/>
        <w:tab w:val="right" w:pos="8640"/>
      </w:tabs>
    </w:pPr>
  </w:style>
  <w:style w:type="paragraph" w:styleId="Footer">
    <w:name w:val="footer"/>
    <w:basedOn w:val="Normal"/>
    <w:rsid w:val="00906AF7"/>
    <w:pPr>
      <w:tabs>
        <w:tab w:val="center" w:pos="4320"/>
        <w:tab w:val="right" w:pos="8640"/>
      </w:tabs>
    </w:pPr>
  </w:style>
  <w:style w:type="paragraph" w:styleId="BalloonText">
    <w:name w:val="Balloon Text"/>
    <w:basedOn w:val="Normal"/>
    <w:link w:val="BalloonTextChar"/>
    <w:rsid w:val="006211AF"/>
    <w:rPr>
      <w:rFonts w:ascii="Tahoma" w:hAnsi="Tahoma" w:cs="Tahoma"/>
      <w:sz w:val="16"/>
      <w:szCs w:val="16"/>
    </w:rPr>
  </w:style>
  <w:style w:type="character" w:customStyle="1" w:styleId="BalloonTextChar">
    <w:name w:val="Balloon Text Char"/>
    <w:basedOn w:val="DefaultParagraphFont"/>
    <w:link w:val="BalloonText"/>
    <w:rsid w:val="00621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FD13F1276C84A8617F019364EAD15" ma:contentTypeVersion="0" ma:contentTypeDescription="Create a new document." ma:contentTypeScope="" ma:versionID="a68accacf6f300363e8114bb833c26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64F298-C3E6-4A48-8414-0FB34B5F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1384A1-4E77-425E-8C5C-D0BF7119C3CD}">
  <ds:schemaRefs>
    <ds:schemaRef ds:uri="http://schemas.microsoft.com/sharepoint/v3/contenttype/forms"/>
  </ds:schemaRefs>
</ds:datastoreItem>
</file>

<file path=customXml/itemProps3.xml><?xml version="1.0" encoding="utf-8"?>
<ds:datastoreItem xmlns:ds="http://schemas.openxmlformats.org/officeDocument/2006/customXml" ds:itemID="{98906E49-718A-4059-A738-ECFA2BEF6DF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Des Moines Public Schools</vt:lpstr>
    </vt:vector>
  </TitlesOfParts>
  <Company>DMPS</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Public Schools</dc:title>
  <dc:creator>L-Net</dc:creator>
  <cp:lastModifiedBy>Stark, Tanya</cp:lastModifiedBy>
  <cp:revision>3</cp:revision>
  <cp:lastPrinted>2016-04-11T15:41:00Z</cp:lastPrinted>
  <dcterms:created xsi:type="dcterms:W3CDTF">2017-03-03T16:47:00Z</dcterms:created>
  <dcterms:modified xsi:type="dcterms:W3CDTF">2017-03-20T17:15:00Z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540137361</vt:i4>
  </property>
  <property fmtid="{D5CDD505-2E9C-101B-9397-08002B2CF9AE}" pid="3" name="_NewReviewCycle">
    <vt:lpwstr/>
  </property>
  <property fmtid="{D5CDD505-2E9C-101B-9397-08002B2CF9AE}" pid="4" name="_EmailSubject">
    <vt:lpwstr>Salary Schedules</vt:lpwstr>
  </property>
  <property fmtid="{D5CDD505-2E9C-101B-9397-08002B2CF9AE}" pid="5" name="_AuthorEmail">
    <vt:lpwstr>patricia.deery@dmps.k12.ia.us</vt:lpwstr>
  </property>
  <property fmtid="{D5CDD505-2E9C-101B-9397-08002B2CF9AE}" pid="6" name="_AuthorEmailDisplayName">
    <vt:lpwstr>Deery, Patricia</vt:lpwstr>
  </property>
  <property fmtid="{D5CDD505-2E9C-101B-9397-08002B2CF9AE}" pid="7" name="_ReviewingToolsShownOnce">
    <vt:lpwstr/>
  </property>
  <property fmtid="{D5CDD505-2E9C-101B-9397-08002B2CF9AE}" pid="8" name="ContentTypeId">
    <vt:lpwstr>0x01010004DFD13F1276C84A8617F019364EAD15</vt:lpwstr>
  </property>
</Properties>
</file>